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media/image10.wmf" ContentType="image/x-wmf"/>
  <Override PartName="/word/media/image5.wmf" ContentType="image/x-wmf"/>
  <Override PartName="/word/media/image11.wmf" ContentType="image/x-wmf"/>
  <Override PartName="/word/media/image6.wmf" ContentType="image/x-wmf"/>
  <Override PartName="/word/media/image7.wmf" ContentType="image/x-wmf"/>
  <Override PartName="/word/media/image12.wmf" ContentType="image/x-wmf"/>
  <Override PartName="/word/media/image8.wmf" ContentType="image/x-wmf"/>
  <Override PartName="/word/media/image13.wmf" ContentType="image/x-wmf"/>
  <Override PartName="/word/media/image9.wmf" ContentType="image/x-wmf"/>
  <Override PartName="/word/media/image14.wmf" ContentType="image/x-wmf"/>
  <Override PartName="/word/media/image15.wmf" ContentType="image/x-wmf"/>
  <Override PartName="/word/media/image16.wmf" ContentType="image/x-wmf"/>
  <Override PartName="/word/media/image17.wmf" ContentType="image/x-wmf"/>
  <Override PartName="/word/media/image18.wmf" ContentType="image/x-wmf"/>
  <Override PartName="/word/media/image19.wmf" ContentType="image/x-wmf"/>
  <Override PartName="/word/media/image20.wmf" ContentType="image/x-wmf"/>
  <Override PartName="/word/media/image21.wmf" ContentType="image/x-wmf"/>
  <Override PartName="/word/media/image22.wmf" ContentType="image/x-wm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jc w:val="en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start="5953" w:end="0"/>
        <w:jc w:val="star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start="5953" w:end="0"/>
        <w:jc w:val="start"/>
        <w:outlineLvl w:val="0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ConsPlus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start="5953" w:end="0"/>
        <w:jc w:val="star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start="5953" w:end="0"/>
        <w:jc w:val="star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Главы 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start="5953" w:end="0"/>
        <w:jc w:val="star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start="5953" w:end="0"/>
        <w:jc w:val="star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Туапсинский район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start="6009" w:end="0"/>
        <w:jc w:val="star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         2024 г. N </w:t>
      </w:r>
    </w:p>
    <w:p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bookmarkStart w:id="0" w:name="P28"/>
      <w:bookmarkStart w:id="1" w:name="P28"/>
      <w:bookmarkEnd w:id="1"/>
    </w:p>
    <w:p>
      <w:pPr>
        <w:pStyle w:val="ConsPlusTitle"/>
        <w:jc w:val="center"/>
        <w:rPr/>
      </w:pPr>
      <w:bookmarkStart w:id="2" w:name="P28_Копия_1"/>
      <w:bookmarkEnd w:id="2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ПРАВИЛА</w:t>
      </w:r>
    </w:p>
    <w:p>
      <w:pPr>
        <w:pStyle w:val="ConsPlusTitle"/>
        <w:jc w:val="center"/>
        <w:rPr/>
      </w:pP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асчета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предельно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допустимой</w:t>
      </w:r>
      <w:r>
        <w:rPr>
          <w:rFonts w:ascii="Times New Roman" w:hAnsi="Times New Roman"/>
          <w:sz w:val="28"/>
          <w:szCs w:val="28"/>
        </w:rPr>
        <w:t xml:space="preserve">  </w:t>
      </w:r>
    </w:p>
    <w:p>
      <w:pPr>
        <w:pStyle w:val="ConsPlusTitle"/>
        <w:jc w:val="center"/>
        <w:rPr/>
      </w:pPr>
      <w:r>
        <w:rPr>
          <w:rFonts w:ascii="Times New Roman" w:hAnsi="Times New Roman"/>
          <w:sz w:val="28"/>
          <w:szCs w:val="28"/>
        </w:rPr>
        <w:t>рекреационной емкости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особо </w:t>
      </w:r>
    </w:p>
    <w:p>
      <w:pPr>
        <w:pStyle w:val="ConsPlusTitle"/>
        <w:jc w:val="center"/>
        <w:rPr/>
      </w:pPr>
      <w:r>
        <w:rPr>
          <w:rFonts w:ascii="Times New Roman" w:hAnsi="Times New Roman"/>
          <w:sz w:val="28"/>
          <w:szCs w:val="28"/>
        </w:rPr>
        <w:t>охраняемых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природных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ConsPlusTitle"/>
        <w:jc w:val="center"/>
        <w:rPr/>
      </w:pPr>
      <w:r>
        <w:rPr>
          <w:rFonts w:ascii="Times New Roman" w:hAnsi="Times New Roman"/>
          <w:sz w:val="28"/>
          <w:szCs w:val="28"/>
        </w:rPr>
        <w:t>территорий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значения </w:t>
      </w:r>
    </w:p>
    <w:p>
      <w:pPr>
        <w:pStyle w:val="ConsPlusTitle"/>
        <w:jc w:val="center"/>
        <w:rPr/>
      </w:pPr>
      <w:r>
        <w:rPr>
          <w:rFonts w:ascii="Times New Roman" w:hAnsi="Times New Roman"/>
          <w:sz w:val="28"/>
          <w:szCs w:val="28"/>
        </w:rPr>
        <w:t>при осуществлении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ConsPlusTitle"/>
        <w:jc w:val="center"/>
        <w:rPr/>
      </w:pPr>
      <w:r>
        <w:rPr>
          <w:rFonts w:ascii="Times New Roman" w:hAnsi="Times New Roman"/>
          <w:sz w:val="28"/>
          <w:szCs w:val="28"/>
        </w:rPr>
        <w:t>туризма</w:t>
      </w:r>
    </w:p>
    <w:p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1. Настоящие Типовые правила устанавливают порядок расчета предельно допустимой рекреационной емкости особо охраняемых природных территорий местного значения в рамках организации на их территориях туризма.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2. В целях настоящих правил используются следующие понятия: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«автономный многодневный туристский маршрут» - туристский маршрут, длящийся более одного дня, при котором туристы не используют места размещения (туристские базы, гостиницы, кемпинги) и пункты питания туристов;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«базовая рекреационная емкость» - максимальное количество человек, которые могут физически находиться на особо охраняемой природной территории или в отдельной части (на туристском объекте) в единицу времени;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«лимитирующий фактор развития туризма» - фактор, ограничивающий возможности развития туризма на особо охраняемой природной территории или в отдельной части (на туристском объекте) ввиду несовместимости туризма и обеспечения сохранности уникальных и типичных природных комплексов и объектов, объектов растительного и животного мира, естественных экологических систем, биоразнообразия в целях поддержания их в естественном состоянии, а также невозможности оказания посетителям услуг, соответствующих договору или обычно предъявляемым к ним требованиям, и снижения негативного воздействия на местную социокультурную среду;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«линейный туристский объект (туристский маршрут)» - путь следования туристов, расположенный на особо охраняемой природной территории, характеризующийся линейным характером воздействия на окружающую среду вдоль пути следования;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«многодневный туристский маршрут» - туристский маршрут, прохождение которого длится более одного дня, при котором туристы размещаются на ночевку в местах размещения;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«однодневный туристский маршрут» - туристский маршрут, прохождение которого совершается в течение дня, без использования мест размещения;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«площадной туристский объект» - туристский объект, занимающий определенный земельный участок или участок акватории, имеющий свои границы, характеризующийся свободным перемещением на нем посетителей и площадным (обширным, по всей площади объекта или его части) характером воздействия его на окружающую среду (стоянки, смотровые площадки, музеи, визит-центры, иные здания и сооружения для организации обслуживания туристов);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«потенциальная рекреационная емкость» - максимальное количество человек, которые могут находиться на особо охраняемой природной территории, в ее отдельной части или на туристском объекте в единицу времени без деградации природных комплексов и объектов, объектов растительного и животного мира, естественных экологических систем, с учетом факторов экологического, социального, социокультурного и социально-экономического характера;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«предельно допустимая рекреационная емкость» - максимальное количество посетителей, которые могут посетить в качестве туриста особо охраняемую природную территорию либо ее отдельные части в единицу времени без деградации природных комплексов и объектов, объектов растительного и животного мира, естественных экологических систем;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«туристские объекты» - части особо охраняемой природной территории, включающие природные комплексы и объекты, историко-культурные объекты, инфраструктурные объекты (музеи, визит-центры, иные здания и сооружения для организации обслуживания туристов), привлекающие туристов и используемые для осуществления туризма.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3. Предельно допустимая рекреационная емкость определяется для особо охраняемой природной территории либо ее отдельных частей (туристских объектов).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4. Предельно допустимая рекреационная емкость устанавливается органами местного самоуправления в отношении находящихся в их ведении особо охраняемых природных территорий местного значения.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5. Расчет предельно допустимой рекреационной емкости особо охраняемой природной территории, ее отдельной части осуществляется при выявлении изменения состояния туристских объектов, но не реже одного раза в 5 лет.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6. Предельно допустимая рекреационная емкость рассчитывается для особо охраняемой природной территории в целом, а также для ее отдельных частей (туристских объектов) и выражается в целочисленных значениях, человек в единицу времени.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7. Предельно допустимая рекреационная емкость особо охраняемой природной территории (</w:t>
      </w:r>
      <w:r>
        <w:rPr/>
        <w:drawing>
          <wp:inline distT="0" distB="0" distL="0" distR="0">
            <wp:extent cx="609600" cy="228600"/>
            <wp:effectExtent l="0" t="0" r="0" b="0"/>
            <wp:docPr id="1" name="Изображение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) рассчитывается по формуле:- предельно допустимая рекреационная емкость туристского объекта m, человек в единицу времени;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m - порядковый номер туристского объекта в границах особо охраняемой природной территории (1, 2, ... m).</w:t>
      </w:r>
    </w:p>
    <w:p>
      <w:pPr>
        <w:pStyle w:val="ConsPlusNormal"/>
        <w:spacing w:lineRule="atLeast" w:line="283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>8. Предельно допустимая рекреационная емкость туристского объекта          (</w:t>
      </w:r>
      <w:r>
        <w:rPr/>
        <w:drawing>
          <wp:inline distT="0" distB="0" distL="0" distR="0">
            <wp:extent cx="409575" cy="238125"/>
            <wp:effectExtent l="0" t="0" r="0" b="0"/>
            <wp:docPr id="2" name="Изображение5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5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) рассчитывается по формуле:</w:t>
      </w:r>
    </w:p>
    <w:p>
      <w:pPr>
        <w:pStyle w:val="ConsPlusNormal"/>
        <w:spacing w:lineRule="atLeast" w:line="283" w:before="0" w:after="0"/>
        <w:contextualSpacing/>
        <w:jc w:val="center"/>
        <w:rPr/>
      </w:pPr>
      <w:r>
        <w:rPr/>
        <w:drawing>
          <wp:inline distT="0" distB="0" distL="0" distR="0">
            <wp:extent cx="1381125" cy="238125"/>
            <wp:effectExtent l="0" t="0" r="0" b="0"/>
            <wp:docPr id="3" name="Изображение6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6" descr="" title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spacing w:lineRule="atLeast" w:line="283"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где:</w:t>
      </w:r>
    </w:p>
    <w:p>
      <w:pPr>
        <w:pStyle w:val="ConsPlusNormal"/>
        <w:spacing w:lineRule="atLeast" w:line="283" w:before="0" w:after="0"/>
        <w:ind w:firstLine="540"/>
        <w:contextualSpacing/>
        <w:jc w:val="both"/>
        <w:rPr/>
      </w:pPr>
      <w:r>
        <w:rPr/>
        <w:drawing>
          <wp:inline distT="0" distB="0" distL="0" distR="0">
            <wp:extent cx="390525" cy="238125"/>
            <wp:effectExtent l="0" t="0" r="0" b="0"/>
            <wp:docPr id="4" name="Изображение7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7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потенциальная рекреационная емкость туристского объекта, человек в единицу времени;</w:t>
      </w:r>
    </w:p>
    <w:p>
      <w:pPr>
        <w:pStyle w:val="ConsPlusNormal"/>
        <w:spacing w:lineRule="auto" w:line="240" w:before="0" w:after="0"/>
        <w:ind w:firstLine="540"/>
        <w:contextualSpacing/>
        <w:jc w:val="both"/>
        <w:rPr/>
      </w:pPr>
      <w:r>
        <w:rPr/>
        <w:drawing>
          <wp:inline distT="0" distB="0" distL="0" distR="0">
            <wp:extent cx="276225" cy="180975"/>
            <wp:effectExtent l="0" t="0" r="0" b="0"/>
            <wp:docPr id="5" name="Изображение8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8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коэффициент управленческой емкости, долей от единицы.</w:t>
      </w:r>
    </w:p>
    <w:p>
      <w:pPr>
        <w:pStyle w:val="ConsPlusNormal"/>
        <w:spacing w:lineRule="auto" w:line="240"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9. Потенциальная рекреационная емкость рассчитывается для особо охраняемой природной территории в целом, а также для ее отдельных частей (туристских объектов) и выражается в целочисленных значениях, человек в единицу времени.</w:t>
      </w:r>
    </w:p>
    <w:p>
      <w:pPr>
        <w:pStyle w:val="ConsPlusNormal"/>
        <w:spacing w:lineRule="atLeast" w:line="283"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10. Потенциальная рекреационная емкость туристского объекта (</w:t>
      </w:r>
      <w:r>
        <w:rPr/>
        <w:drawing>
          <wp:inline distT="0" distB="0" distL="0" distR="0">
            <wp:extent cx="390525" cy="238125"/>
            <wp:effectExtent l="0" t="0" r="0" b="0"/>
            <wp:docPr id="6" name="Изображение9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9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) рассчитывается по формуле:</w:t>
      </w:r>
    </w:p>
    <w:p>
      <w:pPr>
        <w:pStyle w:val="ConsPlusNormal"/>
        <w:spacing w:before="0" w:after="0"/>
        <w:contextualSpacing/>
        <w:jc w:val="center"/>
        <w:rPr/>
      </w:pPr>
      <w:r>
        <w:rPr/>
        <w:drawing>
          <wp:inline distT="0" distB="0" distL="0" distR="0">
            <wp:extent cx="1485900" cy="257175"/>
            <wp:effectExtent l="0" t="0" r="0" b="0"/>
            <wp:docPr id="7" name="Изображение10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10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где: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/>
        <w:drawing>
          <wp:inline distT="0" distB="0" distL="0" distR="0">
            <wp:extent cx="409575" cy="238125"/>
            <wp:effectExtent l="0" t="0" r="0" b="0"/>
            <wp:docPr id="8" name="Изображение1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11" descr="" titl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базовая рекреационная емкость туристского объекта, выраженная в целочисленном значении, человек в единицу времени;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/>
        <w:drawing>
          <wp:inline distT="0" distB="0" distL="0" distR="0">
            <wp:extent cx="257175" cy="228600"/>
            <wp:effectExtent l="0" t="0" r="0" b="0"/>
            <wp:docPr id="9" name="Изображение1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12" descr="" titl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поправочные коэффициенты, которые учитывают определенные для туристских объектов лимитирующие факторы развития туризма (экологического, социального и социокультурного характера) и установленные режимы использования туристских объектов;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n - количество поправочных коэффициентов.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11. Базовая рекреационная емкость туристских объектов (</w:t>
      </w:r>
      <w:r>
        <w:rPr/>
        <w:drawing>
          <wp:inline distT="0" distB="0" distL="0" distR="0">
            <wp:extent cx="409575" cy="238125"/>
            <wp:effectExtent l="0" t="0" r="0" b="0"/>
            <wp:docPr id="10" name="Изображение1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13" descr="" titl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) для площадных и линейных туристских объектов (туристских маршрутов) рассчитывается по приведенным </w:t>
      </w:r>
      <w:r>
        <w:rPr>
          <w:rFonts w:ascii="Times New Roman" w:hAnsi="Times New Roman"/>
          <w:sz w:val="28"/>
          <w:szCs w:val="28"/>
        </w:rPr>
        <w:t xml:space="preserve">ниже </w:t>
      </w:r>
      <w:r>
        <w:rPr>
          <w:rFonts w:ascii="Times New Roman" w:hAnsi="Times New Roman"/>
          <w:sz w:val="28"/>
          <w:szCs w:val="28"/>
        </w:rPr>
        <w:t>формулам и выражается в целочисленных значениях, человек в единицу времени.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12. Базовая рекреационная емкость для площадных туристских объектов                   (</w:t>
      </w:r>
      <w:r>
        <w:rPr/>
        <w:drawing>
          <wp:inline distT="0" distB="0" distL="0" distR="0">
            <wp:extent cx="428625" cy="238125"/>
            <wp:effectExtent l="0" t="0" r="0" b="0"/>
            <wp:docPr id="11" name="Изображение14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14" descr="" title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) рассчитывается по формуле:</w:t>
      </w:r>
      <w:r>
        <w:rPr/>
        <w:drawing>
          <wp:inline distT="0" distB="0" distL="0" distR="0">
            <wp:extent cx="1400175" cy="390525"/>
            <wp:effectExtent l="0" t="0" r="0" b="0"/>
            <wp:docPr id="12" name="Изображение15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15" descr="" title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где: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A - площадь туристского объекта, на которой осуществляется туризм,               кв. метров;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Au - площадь туристского объекта, необходимая для одного посетителя при осуществлении туризма (кв. метров), определяемая в соответствии с порядком, указанны</w:t>
      </w:r>
      <w:r>
        <w:rPr>
          <w:rFonts w:ascii="Times New Roman" w:hAnsi="Times New Roman"/>
          <w:color w:val="000000"/>
          <w:sz w:val="28"/>
          <w:szCs w:val="28"/>
        </w:rPr>
        <w:t xml:space="preserve">м в </w:t>
      </w:r>
      <w:hyperlink w:anchor="P121" w:tgtFrame="18. Коэффициенты управленческой емкости, поправочные коэффициенты экологического, социального, социально-экономического и социокультурного характера и расчет их величин, а также площадь туристского объекта, необходимая для одного посетителя, определяются в рамках утверждаемого порядка расчета предельно допустимой рекреационной емкости исполнительными органами субъектов Российской Федерации в отношении находящихся в их ведении особо охраняемых природных территорий регионального значения и органами местног...">
        <w:r>
          <w:rPr>
            <w:rFonts w:ascii="Times New Roman" w:hAnsi="Times New Roman"/>
            <w:color w:val="000000"/>
            <w:sz w:val="28"/>
            <w:szCs w:val="28"/>
          </w:rPr>
          <w:t>пункте 18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>стоящих Правил;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Rf - коэффициент возвращения, отражающий возможное количество посещений туристского объекта одним и тем же туристом в день;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t - количество дней в рассматриваемую единицу времени (месяц, сезон, год и др.), единиц.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13. Коэффициент возвращения (Rf) рассчитывается по формуле: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spacing w:before="0" w:after="0"/>
        <w:contextualSpacing/>
        <w:jc w:val="center"/>
        <w:rPr/>
      </w:pPr>
      <w:r>
        <w:rPr/>
        <w:drawing>
          <wp:inline distT="0" distB="0" distL="0" distR="0">
            <wp:extent cx="676275" cy="390525"/>
            <wp:effectExtent l="0" t="0" r="0" b="0"/>
            <wp:docPr id="13" name="Изображение16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16" descr="" title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где: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T - количество часов в сутки, когда туристский объект доступен для посещения, часов;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Td - среднее время пребывания посетителя на туристском объекте, часов.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14. Базовая рекреационная емкость для однодневных туристских маршрутов и многодневных туристских маршрутов с небольшой протяженностью или несколькими входами без ограничения времени посещения туристского маршрута (</w:t>
      </w:r>
      <w:r>
        <w:rPr/>
        <w:drawing>
          <wp:inline distT="0" distB="0" distL="0" distR="0">
            <wp:extent cx="485775" cy="238125"/>
            <wp:effectExtent l="0" t="0" r="0" b="0"/>
            <wp:docPr id="14" name="Изображение17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17" descr="" title="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) рассчитывается по формуле: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spacing w:before="0" w:after="0"/>
        <w:contextualSpacing/>
        <w:jc w:val="center"/>
        <w:rPr/>
      </w:pPr>
      <w:r>
        <w:rPr/>
        <w:drawing>
          <wp:inline distT="0" distB="0" distL="0" distR="0">
            <wp:extent cx="2590800" cy="504825"/>
            <wp:effectExtent l="0" t="0" r="0" b="0"/>
            <wp:docPr id="15" name="Изображение18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18" descr="" title="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где:</w:t>
      </w:r>
    </w:p>
    <w:p>
      <w:pPr>
        <w:pStyle w:val="ConsPlusNormal"/>
        <w:spacing w:lineRule="auto" w:line="240"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DT</w:t>
      </w:r>
      <w:r>
        <w:rPr>
          <w:rFonts w:ascii="Times New Roman" w:hAnsi="Times New Roman"/>
          <w:sz w:val="28"/>
          <w:szCs w:val="28"/>
          <w:vertAlign w:val="subscript"/>
        </w:rPr>
        <w:t>p</w:t>
      </w:r>
      <w:r>
        <w:rPr>
          <w:rFonts w:ascii="Times New Roman" w:hAnsi="Times New Roman"/>
          <w:sz w:val="28"/>
          <w:szCs w:val="28"/>
        </w:rPr>
        <w:t xml:space="preserve"> - длина однодневного туристского маршрута или однодневного участка p многодневного туристского маршрута в дневной переход, км;</w:t>
      </w:r>
    </w:p>
    <w:p>
      <w:pPr>
        <w:pStyle w:val="ConsPlusNormal"/>
        <w:spacing w:lineRule="auto" w:line="240"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DG</w:t>
      </w:r>
      <w:r>
        <w:rPr>
          <w:rFonts w:ascii="Times New Roman" w:hAnsi="Times New Roman"/>
          <w:sz w:val="28"/>
          <w:szCs w:val="28"/>
          <w:vertAlign w:val="subscript"/>
        </w:rPr>
        <w:t>p</w:t>
      </w:r>
      <w:r>
        <w:rPr>
          <w:rFonts w:ascii="Times New Roman" w:hAnsi="Times New Roman"/>
          <w:sz w:val="28"/>
          <w:szCs w:val="28"/>
        </w:rPr>
        <w:t xml:space="preserve"> - оптимальное расстояние между группами на участке p туристского маршрута, км;</w:t>
      </w:r>
    </w:p>
    <w:p>
      <w:pPr>
        <w:pStyle w:val="ConsPlusNormal"/>
        <w:spacing w:lineRule="auto" w:line="240"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Ts - длина светового дня или количество времени, когда туристский маршрут доступен для посетителей, часов;</w:t>
      </w:r>
    </w:p>
    <w:p>
      <w:pPr>
        <w:pStyle w:val="ConsPlusNormal"/>
        <w:spacing w:lineRule="auto" w:line="240"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Td</w:t>
      </w:r>
      <w:r>
        <w:rPr>
          <w:rFonts w:ascii="Times New Roman" w:hAnsi="Times New Roman"/>
          <w:sz w:val="28"/>
          <w:szCs w:val="28"/>
          <w:vertAlign w:val="subscript"/>
        </w:rPr>
        <w:t>p</w:t>
      </w:r>
      <w:r>
        <w:rPr>
          <w:rFonts w:ascii="Times New Roman" w:hAnsi="Times New Roman"/>
          <w:sz w:val="28"/>
          <w:szCs w:val="28"/>
        </w:rPr>
        <w:t xml:space="preserve"> - среднее время прохождения участка туристского маршрута p с учетом остановок, часов;</w:t>
      </w:r>
    </w:p>
    <w:p>
      <w:pPr>
        <w:pStyle w:val="ConsPlusNormal"/>
        <w:spacing w:lineRule="auto" w:line="240"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GS - среднее количество человек в группе (включая сопровождающих), человек;</w:t>
      </w:r>
    </w:p>
    <w:p>
      <w:pPr>
        <w:pStyle w:val="ConsPlusNormal"/>
        <w:spacing w:lineRule="auto" w:line="240"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p - порядковый номер однодневного участка туристского маршрута                        (1, 2, ... p);</w:t>
      </w:r>
    </w:p>
    <w:p>
      <w:pPr>
        <w:pStyle w:val="ConsPlusNormal"/>
        <w:spacing w:lineRule="auto" w:line="240"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  <w:vertAlign w:val="subscript"/>
        </w:rPr>
        <w:t>p</w:t>
      </w:r>
      <w:r>
        <w:rPr>
          <w:rFonts w:ascii="Times New Roman" w:hAnsi="Times New Roman"/>
          <w:sz w:val="28"/>
          <w:szCs w:val="28"/>
        </w:rPr>
        <w:t xml:space="preserve"> - количество дней пребывания посетителей на туристском маршруте, единиц.</w:t>
      </w:r>
    </w:p>
    <w:p>
      <w:pPr>
        <w:pStyle w:val="ConsPlusNormal"/>
        <w:spacing w:lineRule="auto" w:line="240"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15. Базовая рекреационная емкость для однодневных и многодневных туристских маршрутов, время доступности которых строго фиксировано                     (</w:t>
      </w:r>
      <w:r>
        <w:rPr/>
        <w:drawing>
          <wp:inline distT="0" distB="0" distL="0" distR="0">
            <wp:extent cx="495300" cy="238125"/>
            <wp:effectExtent l="0" t="0" r="0" b="0"/>
            <wp:docPr id="16" name="Изображение19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19" descr="" title="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) (например, в случае закрытия для посетителей входа и выхода с туристского маршрута или в целом с участка особо охраняемой природной территории в четкоустановленные часы), рассчитывается по формуле: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spacing w:before="0" w:after="0"/>
        <w:contextualSpacing/>
        <w:jc w:val="center"/>
        <w:rPr/>
      </w:pPr>
      <w:r>
        <w:rPr/>
        <w:drawing>
          <wp:inline distT="0" distB="0" distL="0" distR="0">
            <wp:extent cx="1981200" cy="447675"/>
            <wp:effectExtent l="0" t="0" r="0" b="0"/>
            <wp:docPr id="17" name="Изображение20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20" descr="" title="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где: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/>
        <w:drawing>
          <wp:inline distT="0" distB="0" distL="0" distR="0">
            <wp:extent cx="180975" cy="238125"/>
            <wp:effectExtent l="0" t="0" r="0" b="0"/>
            <wp:docPr id="18" name="Изображение2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21" descr="" title="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максимальное количество групп, которые могут пройти в сутки по однодневному участку p туристского маршрута до его закрытия или до окончания светового дня, единиц.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16. Максимальное количество групп, которые могут пройти в сутки по однодневному участку туристского маршрута до его закрытия или до окончания светового дня (</w:t>
      </w:r>
      <w:r>
        <w:rPr/>
        <w:drawing>
          <wp:inline distT="0" distB="0" distL="0" distR="0">
            <wp:extent cx="180975" cy="238125"/>
            <wp:effectExtent l="0" t="0" r="0" b="0"/>
            <wp:docPr id="19" name="Изображение2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22" descr="" title="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), выражается целочисленным значением (единиц) и определяется по формуле:</w:t>
      </w:r>
    </w:p>
    <w:p>
      <w:pPr>
        <w:pStyle w:val="ConsPlusNormal"/>
        <w:spacing w:before="0" w:after="0"/>
        <w:contextualSpacing/>
        <w:jc w:val="center"/>
        <w:rPr/>
      </w:pPr>
      <w:r>
        <w:rPr/>
        <w:drawing>
          <wp:inline distT="0" distB="0" distL="0" distR="0">
            <wp:extent cx="1600200" cy="561975"/>
            <wp:effectExtent l="0" t="0" r="0" b="0"/>
            <wp:docPr id="20" name="Изображение2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Изображение23" descr="" title="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где: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vertAlign w:val="subscript"/>
        </w:rPr>
        <w:t>p</w:t>
      </w:r>
      <w:r>
        <w:rPr>
          <w:rFonts w:ascii="Times New Roman" w:hAnsi="Times New Roman"/>
          <w:sz w:val="28"/>
          <w:szCs w:val="28"/>
        </w:rPr>
        <w:t xml:space="preserve"> - средняя скорость передвижения по однодневному участку p туристского маршрута с учетом остановок, км в час.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Количество групп выражается целочисленным значением, полученным после округления вычислений до ближайшего целого в меньшую сторону.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17. Базовая рекреационная емкость для автономных многодневных туристских маршрутов (</w:t>
      </w:r>
      <w:r>
        <w:rPr/>
        <w:drawing>
          <wp:inline distT="0" distB="0" distL="0" distR="0">
            <wp:extent cx="485775" cy="238125"/>
            <wp:effectExtent l="0" t="0" r="0" b="0"/>
            <wp:docPr id="21" name="Изображение24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Изображение24" descr="" title="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) рассчитывается по формуле: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spacing w:before="0" w:after="0"/>
        <w:contextualSpacing/>
        <w:jc w:val="center"/>
        <w:rPr/>
      </w:pPr>
      <w:r>
        <w:rPr/>
        <w:drawing>
          <wp:inline distT="0" distB="0" distL="0" distR="0">
            <wp:extent cx="1571625" cy="238125"/>
            <wp:effectExtent l="0" t="0" r="0" b="0"/>
            <wp:docPr id="22" name="Изображение25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Изображение25" descr="" title="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где: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/>
        <w:drawing>
          <wp:inline distT="0" distB="0" distL="0" distR="0">
            <wp:extent cx="342900" cy="238125"/>
            <wp:effectExtent l="0" t="0" r="0" b="0"/>
            <wp:docPr id="23" name="Изображение26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Изображение26" descr="" title="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минимальное из рассчитанных для однодневных участков туристского маршрута значений максимального количества групп, которые могут пройти в сутки по однодневному участку p туристского маршрута до его закрытия или до окончания светового дня, единиц.</w:t>
      </w:r>
      <w:bookmarkStart w:id="3" w:name="P121"/>
    </w:p>
    <w:p>
      <w:pPr>
        <w:pStyle w:val="ConsPlusNormal"/>
        <w:spacing w:before="0" w:after="0"/>
        <w:ind w:firstLine="540"/>
        <w:contextualSpacing/>
        <w:jc w:val="both"/>
        <w:rPr/>
      </w:pPr>
      <w:bookmarkEnd w:id="3"/>
      <w:r>
        <w:rPr>
          <w:rFonts w:ascii="Times New Roman" w:hAnsi="Times New Roman"/>
          <w:sz w:val="28"/>
          <w:szCs w:val="28"/>
        </w:rPr>
        <w:t>18. Коэффициенты управленческой емкости, поправочные коэффициенты экологического, социального, социально-экономического и социокультурного характера и расчет их величин, а также площадь туристского объекта, необходимая для одного посетителя, определяются в рамках утверждаемого порядка расчета предельно допустимой рекреационной емкости органами местного самоуправления в отношении находящихся в их ведении особо охраняемых природных территорий местного значения.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19. Определение коэффициентов управленческой емкости и поправочных коэффициентов основывается на учете следующих лимитирующих факторов развития туризма и управленческих параметров развития туризма: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экологические факторы, включая: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пожароопасность;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риск затопления, подтопления;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развитие эрозионных процессов;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погодные условия;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воздействие на объекты животного и растительного мира;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изменение состояния почвенного и растительного покрова;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изменение состояния, снижение эстетических свойств ландшафтов;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изменение состояния водных объектов;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факторы социального характера, включая: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start="567" w:end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соответствие ожиданий полученному опыту и общая удовлетворенность путешествием;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качество услуг и инфраструктуры;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отношение к управленческим действиям;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плотность социальных контактов;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факторы социокультурного характера, включая: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влияние туризма на местную социокультурную среду;</w:t>
      </w:r>
    </w:p>
    <w:p>
      <w:pPr>
        <w:pStyle w:val="ConsPlusNormal"/>
        <w:widowControl w:val="false"/>
        <w:tabs>
          <w:tab w:val="clear" w:pos="709"/>
          <w:tab w:val="left" w:pos="1112" w:leader="none"/>
        </w:tabs>
        <w:suppressAutoHyphens w:val="true"/>
        <w:bidi w:val="0"/>
        <w:spacing w:lineRule="auto" w:line="240" w:before="0" w:after="0"/>
        <w:ind w:hanging="0" w:start="567" w:end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показатели гостеприимства и толерантности местного населения в отношении туристов;</w:t>
      </w:r>
    </w:p>
    <w:p>
      <w:pPr>
        <w:pStyle w:val="ConsPlusNormal"/>
        <w:spacing w:before="0" w:after="0"/>
        <w:ind w:firstLine="54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факторы социально-экономического характера, включая: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start="567" w:end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влияние туризма на особо охраняемой природной территории на социально-экономическую обстановку в регионе;</w:t>
      </w:r>
    </w:p>
    <w:p>
      <w:pPr>
        <w:sectPr>
          <w:headerReference w:type="default" r:id="rId25"/>
          <w:type w:val="nextPage"/>
          <w:pgSz w:w="11906" w:h="16838"/>
          <w:pgMar w:left="1701" w:right="567" w:gutter="0" w:header="1134" w:top="1693" w:footer="0" w:bottom="1134"/>
          <w:pgNumType w:fmt="decimal"/>
          <w:formProt w:val="false"/>
          <w:titlePg/>
          <w:textDirection w:val="lrTb"/>
          <w:docGrid w:type="default" w:linePitch="312" w:charSpace="0"/>
        </w:sectPr>
        <w:pStyle w:val="ConsPlusNormal"/>
        <w:widowControl w:val="false"/>
        <w:suppressAutoHyphens w:val="true"/>
        <w:bidi w:val="0"/>
        <w:spacing w:lineRule="auto" w:line="240" w:before="0" w:after="0"/>
        <w:ind w:hanging="0" w:start="567" w:end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управленческие параметры, включая достаточность человеческих ресурсов, достаточность и качество объектов инфраструктуры.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headerReference w:type="default" r:id="rId26"/>
      <w:headerReference w:type="first" r:id="rId27"/>
      <w:type w:val="nextPage"/>
      <w:pgSz w:w="11906" w:h="16838"/>
      <w:pgMar w:left="1701" w:right="567" w:gutter="0" w:header="1134" w:top="1693" w:footer="0" w:bottom="1134"/>
      <w:pgNumType w:start="2"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roman"/>
    <w:pitch w:val="variable"/>
  </w:font>
  <w:font w:name="Arial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bookmarkStart w:id="4" w:name="PageNumWizard_HEADER_Базовый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  <w:bookmarkEnd w:id="4"/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bookmarkStart w:id="5" w:name="PageNumWizard_HEADER_Базовый1_Копия_2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bookmarkEnd w:id="5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lineRule="auto" w:line="240" w:before="0" w:after="0"/>
      <w:jc w:val="start"/>
    </w:pPr>
    <w:rPr>
      <w:rFonts w:ascii="Arial" w:hAnsi="Arial" w:eastAsia="NSimSun" w:cs="Arial"/>
      <w:color w:val="auto"/>
      <w:kern w:val="2"/>
      <w:sz w:val="20"/>
      <w:szCs w:val="24"/>
      <w:lang w:val="ru-RU" w:eastAsia="zh-CN" w:bidi="hi-IN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start"/>
    </w:pPr>
    <w:rPr>
      <w:rFonts w:ascii="Arial" w:hAnsi="Arial" w:eastAsia="NSimSun" w:cs="Arial"/>
      <w:b/>
      <w:color w:val="auto"/>
      <w:kern w:val="2"/>
      <w:sz w:val="20"/>
      <w:szCs w:val="24"/>
      <w:lang w:val="ru-RU" w:eastAsia="zh-CN" w:bidi="hi-IN"/>
    </w:rPr>
  </w:style>
  <w:style w:type="paragraph" w:styleId="Style16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Style16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4.wmf"/><Relationship Id="rId6" Type="http://schemas.openxmlformats.org/officeDocument/2006/relationships/image" Target="media/image5.wmf"/><Relationship Id="rId7" Type="http://schemas.openxmlformats.org/officeDocument/2006/relationships/image" Target="media/image6.wmf"/><Relationship Id="rId8" Type="http://schemas.openxmlformats.org/officeDocument/2006/relationships/image" Target="media/image7.wmf"/><Relationship Id="rId9" Type="http://schemas.openxmlformats.org/officeDocument/2006/relationships/image" Target="media/image8.wmf"/><Relationship Id="rId10" Type="http://schemas.openxmlformats.org/officeDocument/2006/relationships/image" Target="media/image9.wmf"/><Relationship Id="rId11" Type="http://schemas.openxmlformats.org/officeDocument/2006/relationships/image" Target="media/image8.wmf"/><Relationship Id="rId12" Type="http://schemas.openxmlformats.org/officeDocument/2006/relationships/image" Target="media/image10.wmf"/><Relationship Id="rId13" Type="http://schemas.openxmlformats.org/officeDocument/2006/relationships/image" Target="media/image11.wmf"/><Relationship Id="rId14" Type="http://schemas.openxmlformats.org/officeDocument/2006/relationships/image" Target="media/image12.wmf"/><Relationship Id="rId15" Type="http://schemas.openxmlformats.org/officeDocument/2006/relationships/image" Target="media/image13.wmf"/><Relationship Id="rId16" Type="http://schemas.openxmlformats.org/officeDocument/2006/relationships/image" Target="media/image14.wmf"/><Relationship Id="rId17" Type="http://schemas.openxmlformats.org/officeDocument/2006/relationships/image" Target="media/image15.wmf"/><Relationship Id="rId18" Type="http://schemas.openxmlformats.org/officeDocument/2006/relationships/image" Target="media/image16.wmf"/><Relationship Id="rId19" Type="http://schemas.openxmlformats.org/officeDocument/2006/relationships/image" Target="media/image17.wmf"/><Relationship Id="rId20" Type="http://schemas.openxmlformats.org/officeDocument/2006/relationships/image" Target="media/image18.wmf"/><Relationship Id="rId21" Type="http://schemas.openxmlformats.org/officeDocument/2006/relationships/image" Target="media/image19.wmf"/><Relationship Id="rId22" Type="http://schemas.openxmlformats.org/officeDocument/2006/relationships/image" Target="media/image20.wmf"/><Relationship Id="rId23" Type="http://schemas.openxmlformats.org/officeDocument/2006/relationships/image" Target="media/image21.wmf"/><Relationship Id="rId24" Type="http://schemas.openxmlformats.org/officeDocument/2006/relationships/image" Target="media/image22.wmf"/><Relationship Id="rId25" Type="http://schemas.openxmlformats.org/officeDocument/2006/relationships/header" Target="header1.xml"/><Relationship Id="rId26" Type="http://schemas.openxmlformats.org/officeDocument/2006/relationships/header" Target="header2.xml"/><Relationship Id="rId27" Type="http://schemas.openxmlformats.org/officeDocument/2006/relationships/header" Target="header3.xml"/><Relationship Id="rId28" Type="http://schemas.openxmlformats.org/officeDocument/2006/relationships/fontTable" Target="fontTable.xml"/><Relationship Id="rId29" Type="http://schemas.openxmlformats.org/officeDocument/2006/relationships/settings" Target="settings.xml"/><Relationship Id="rId3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57</TotalTime>
  <Application>LibreOffice/7.6.4.1$Windows_X86_64 LibreOffice_project/e19e193f88cd6c0525a17fb7a176ed8e6a3e2aa1</Application>
  <AppVersion>15.0000</AppVersion>
  <Pages>8</Pages>
  <Words>1281</Words>
  <Characters>9319</Characters>
  <CharactersWithSpaces>10618</CharactersWithSpaces>
  <Paragraphs>102</Paragraphs>
  <Company>КонсультантПлюс Версия 4023.00.52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2024-05-21T16:34:00Z</dcterms:created>
  <dc:creator/>
  <dc:description/>
  <dc:language>ru-RU</dc:language>
  <cp:lastModifiedBy/>
  <cp:lastPrinted>2024-05-24T15:24:41Z</cp:lastPrinted>
  <dcterms:modified xsi:type="dcterms:W3CDTF">2024-05-27T12:07:23Z</dcterms:modified>
  <cp:revision>7</cp:revision>
  <dc:subject/>
  <dc:title>Закон Краснодарского края от 31.12.2003 N 656-КЗ(ред. от 11.03.2024)"Об особо охраняемых природных территориях Краснодарского края"(принят ЗС КК 22.12.2003)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